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352" w:rsidRDefault="00D47352" w:rsidP="00D47352">
      <w:pPr>
        <w:jc w:val="center"/>
        <w:rPr>
          <w:rFonts w:ascii="黑体" w:eastAsia="黑体" w:hAnsi="黑体"/>
          <w:sz w:val="36"/>
          <w:szCs w:val="36"/>
        </w:rPr>
      </w:pPr>
      <w:bookmarkStart w:id="0" w:name="_Hlk521430603"/>
      <w:r>
        <w:rPr>
          <w:rFonts w:ascii="黑体" w:eastAsia="黑体" w:hAnsi="黑体" w:hint="eastAsia"/>
          <w:sz w:val="36"/>
          <w:szCs w:val="36"/>
        </w:rPr>
        <w:t>技术创新需求调查表</w:t>
      </w:r>
    </w:p>
    <w:tbl>
      <w:tblPr>
        <w:tblW w:w="8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60"/>
        <w:gridCol w:w="155"/>
        <w:gridCol w:w="6577"/>
      </w:tblGrid>
      <w:tr w:rsidR="00CF58F2" w:rsidTr="00D612CA">
        <w:tc>
          <w:tcPr>
            <w:tcW w:w="8422" w:type="dxa"/>
            <w:gridSpan w:val="4"/>
            <w:tcBorders>
              <w:top w:val="single" w:sz="4" w:space="0" w:color="auto"/>
              <w:left w:val="single" w:sz="4" w:space="0" w:color="auto"/>
              <w:bottom w:val="single" w:sz="4" w:space="0" w:color="auto"/>
              <w:right w:val="single" w:sz="4" w:space="0" w:color="auto"/>
            </w:tcBorders>
          </w:tcPr>
          <w:p w:rsidR="00CF58F2" w:rsidRDefault="00CF58F2" w:rsidP="00CF58F2">
            <w:pPr>
              <w:jc w:val="left"/>
              <w:rPr>
                <w:rFonts w:ascii="仿宋_GB2312" w:eastAsia="仿宋_GB2312" w:hAnsi="宋体" w:cs="宋体"/>
                <w:b/>
                <w:bCs/>
                <w:sz w:val="24"/>
              </w:rPr>
            </w:pPr>
            <w:r w:rsidRPr="00CF58F2">
              <w:rPr>
                <w:rFonts w:ascii="仿宋_GB2312" w:eastAsia="仿宋_GB2312" w:hAnsi="宋体" w:cs="宋体" w:hint="eastAsia"/>
                <w:b/>
                <w:bCs/>
                <w:sz w:val="24"/>
              </w:rPr>
              <w:t xml:space="preserve">需求编号： </w:t>
            </w:r>
            <w:r w:rsidR="005D6A78">
              <w:rPr>
                <w:rFonts w:ascii="仿宋_GB2312" w:eastAsia="仿宋_GB2312" w:hAnsi="宋体" w:cs="宋体" w:hint="eastAsia"/>
                <w:b/>
                <w:bCs/>
                <w:sz w:val="24"/>
              </w:rPr>
              <w:t>2</w:t>
            </w:r>
            <w:r w:rsidR="00064910">
              <w:rPr>
                <w:rFonts w:ascii="仿宋_GB2312" w:eastAsia="仿宋_GB2312" w:hAnsi="宋体" w:cs="宋体" w:hint="eastAsia"/>
                <w:b/>
                <w:bCs/>
                <w:sz w:val="24"/>
              </w:rPr>
              <w:t>0</w:t>
            </w:r>
            <w:bookmarkStart w:id="1" w:name="_GoBack"/>
            <w:bookmarkEnd w:id="1"/>
            <w:r w:rsidR="005D6A78">
              <w:rPr>
                <w:rFonts w:ascii="仿宋_GB2312" w:eastAsia="仿宋_GB2312" w:hAnsi="宋体" w:cs="宋体" w:hint="eastAsia"/>
                <w:b/>
                <w:bCs/>
                <w:sz w:val="24"/>
              </w:rPr>
              <w:t>4</w:t>
            </w:r>
          </w:p>
        </w:tc>
      </w:tr>
      <w:tr w:rsidR="00CF58F2" w:rsidTr="00D612CA">
        <w:tc>
          <w:tcPr>
            <w:tcW w:w="8422" w:type="dxa"/>
            <w:gridSpan w:val="4"/>
            <w:tcBorders>
              <w:top w:val="single" w:sz="4" w:space="0" w:color="auto"/>
              <w:left w:val="single" w:sz="4" w:space="0" w:color="auto"/>
              <w:bottom w:val="single" w:sz="4" w:space="0" w:color="auto"/>
              <w:right w:val="single" w:sz="4" w:space="0" w:color="auto"/>
            </w:tcBorders>
          </w:tcPr>
          <w:p w:rsidR="00CF58F2" w:rsidRDefault="00CF58F2" w:rsidP="00CF58F2">
            <w:pPr>
              <w:jc w:val="left"/>
              <w:rPr>
                <w:rFonts w:ascii="仿宋_GB2312" w:eastAsia="仿宋_GB2312" w:hAnsi="宋体" w:cs="宋体"/>
                <w:b/>
                <w:bCs/>
                <w:sz w:val="24"/>
              </w:rPr>
            </w:pPr>
            <w:r>
              <w:rPr>
                <w:rFonts w:ascii="仿宋_GB2312" w:eastAsia="仿宋_GB2312" w:hAnsi="宋体" w:cs="宋体" w:hint="eastAsia"/>
                <w:b/>
                <w:bCs/>
                <w:sz w:val="24"/>
              </w:rPr>
              <w:t>需求名称：</w:t>
            </w:r>
            <w:r w:rsidR="005D6A78" w:rsidRPr="005D6A78">
              <w:rPr>
                <w:rFonts w:ascii="仿宋_GB2312" w:eastAsia="仿宋_GB2312" w:hAnsi="宋体" w:cs="宋体" w:hint="eastAsia"/>
                <w:b/>
                <w:bCs/>
                <w:sz w:val="24"/>
              </w:rPr>
              <w:t>立体车库AGV智能搬运机器人</w:t>
            </w:r>
          </w:p>
        </w:tc>
      </w:tr>
      <w:tr w:rsidR="00CF58F2" w:rsidTr="00D612CA">
        <w:tc>
          <w:tcPr>
            <w:tcW w:w="8422" w:type="dxa"/>
            <w:gridSpan w:val="4"/>
            <w:tcBorders>
              <w:top w:val="single" w:sz="4" w:space="0" w:color="auto"/>
              <w:left w:val="single" w:sz="4" w:space="0" w:color="auto"/>
              <w:bottom w:val="single" w:sz="4" w:space="0" w:color="auto"/>
              <w:right w:val="single" w:sz="4" w:space="0" w:color="auto"/>
            </w:tcBorders>
          </w:tcPr>
          <w:p w:rsidR="00CF58F2" w:rsidRDefault="00CF58F2" w:rsidP="00CF58F2">
            <w:pPr>
              <w:jc w:val="left"/>
              <w:rPr>
                <w:rFonts w:ascii="仿宋_GB2312" w:eastAsia="仿宋_GB2312" w:hAnsi="宋体" w:cs="宋体"/>
                <w:b/>
                <w:bCs/>
                <w:sz w:val="24"/>
              </w:rPr>
            </w:pPr>
            <w:r>
              <w:rPr>
                <w:rFonts w:ascii="仿宋_GB2312" w:eastAsia="仿宋_GB2312" w:hAnsi="宋体" w:cs="宋体" w:hint="eastAsia"/>
                <w:b/>
                <w:bCs/>
                <w:sz w:val="24"/>
              </w:rPr>
              <w:t>行业领域：高端装备制造</w:t>
            </w:r>
          </w:p>
        </w:tc>
      </w:tr>
      <w:bookmarkEnd w:id="0"/>
      <w:tr w:rsidR="00D47352" w:rsidTr="00D612CA">
        <w:tc>
          <w:tcPr>
            <w:tcW w:w="8422"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D612CA">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577"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□技术研发（关键、核心技术）</w:t>
            </w:r>
          </w:p>
          <w:p w:rsidR="00D47352" w:rsidRDefault="005D6A78" w:rsidP="00984676">
            <w:pPr>
              <w:rPr>
                <w:rFonts w:ascii="仿宋_GB2312" w:eastAsia="仿宋_GB2312" w:hAnsi="宋体" w:cs="宋体"/>
                <w:sz w:val="24"/>
              </w:rPr>
            </w:pPr>
            <w:r w:rsidRPr="005D6A78">
              <w:rPr>
                <w:rFonts w:ascii="仿宋_GB2312" w:eastAsia="仿宋_GB2312" w:hAnsi="宋体" w:cs="宋体" w:hint="eastAsia"/>
                <w:sz w:val="24"/>
              </w:rPr>
              <w:t>□</w:t>
            </w:r>
            <w:r w:rsidR="00D47352">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D612CA">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577" w:type="dxa"/>
            <w:tcBorders>
              <w:top w:val="single" w:sz="4" w:space="0" w:color="auto"/>
              <w:left w:val="nil"/>
              <w:bottom w:val="single" w:sz="4" w:space="0" w:color="auto"/>
              <w:right w:val="single" w:sz="4" w:space="0" w:color="auto"/>
            </w:tcBorders>
            <w:vAlign w:val="center"/>
          </w:tcPr>
          <w:p w:rsidR="005D6A78" w:rsidRPr="005D6A78" w:rsidRDefault="005D6A78" w:rsidP="005D6A78">
            <w:pPr>
              <w:ind w:firstLineChars="200" w:firstLine="480"/>
              <w:rPr>
                <w:rFonts w:ascii="仿宋_GB2312" w:eastAsia="仿宋_GB2312" w:hAnsi="宋体" w:cs="宋体"/>
                <w:kern w:val="0"/>
                <w:sz w:val="24"/>
              </w:rPr>
            </w:pPr>
            <w:r w:rsidRPr="005D6A78">
              <w:rPr>
                <w:rFonts w:ascii="仿宋_GB2312" w:eastAsia="仿宋_GB2312" w:hAnsi="宋体" w:cs="宋体" w:hint="eastAsia"/>
                <w:kern w:val="0"/>
                <w:sz w:val="24"/>
              </w:rPr>
              <w:t>立体车库AGV智能搬运机器人</w:t>
            </w:r>
          </w:p>
          <w:p w:rsidR="00DA7BA5" w:rsidRPr="00DA7BA5" w:rsidRDefault="00DA7BA5" w:rsidP="005D6A78">
            <w:pPr>
              <w:ind w:firstLineChars="200" w:firstLine="480"/>
              <w:rPr>
                <w:rFonts w:ascii="仿宋_GB2312" w:eastAsia="仿宋_GB2312" w:hAnsi="宋体" w:cs="宋体"/>
                <w:kern w:val="0"/>
                <w:sz w:val="24"/>
              </w:rPr>
            </w:pPr>
            <w:bookmarkStart w:id="2" w:name="4821718-5038281-2"/>
            <w:bookmarkEnd w:id="2"/>
          </w:p>
        </w:tc>
      </w:tr>
      <w:tr w:rsidR="00D47352" w:rsidTr="00D612CA">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577"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5D6A78" w:rsidRDefault="005D6A78" w:rsidP="00984676">
            <w:pPr>
              <w:rPr>
                <w:rFonts w:ascii="仿宋_GB2312" w:eastAsia="仿宋_GB2312" w:hAnsi="宋体" w:cs="宋体"/>
                <w:sz w:val="24"/>
              </w:rPr>
            </w:pPr>
          </w:p>
          <w:p w:rsidR="005D6A78" w:rsidRPr="005D6A78" w:rsidRDefault="005D6A78" w:rsidP="005D6A78">
            <w:pPr>
              <w:ind w:firstLineChars="200" w:firstLine="480"/>
              <w:rPr>
                <w:rFonts w:ascii="仿宋_GB2312" w:eastAsia="仿宋_GB2312" w:hAnsi="宋体" w:cs="宋体"/>
                <w:kern w:val="0"/>
                <w:sz w:val="24"/>
              </w:rPr>
            </w:pPr>
            <w:r w:rsidRPr="005D6A78">
              <w:rPr>
                <w:rFonts w:ascii="仿宋_GB2312" w:eastAsia="仿宋_GB2312" w:hAnsi="宋体" w:cs="宋体" w:hint="eastAsia"/>
                <w:kern w:val="0"/>
                <w:sz w:val="24"/>
              </w:rPr>
              <w:t>适应各种车型，机器人运行至汽车底盘下面，不借助任何入托车、梳齿、地面挖坑等辅助设施，夹持车轮，举升汽车，因此要适用不同车型的轮距、轴距，需要机器人在结构和动力上具有针对不同的车型进行调整能力。</w:t>
            </w:r>
          </w:p>
          <w:p w:rsidR="005D6A78" w:rsidRPr="005D6A78" w:rsidRDefault="005D6A78" w:rsidP="005D6A78">
            <w:pPr>
              <w:ind w:firstLineChars="200" w:firstLine="480"/>
              <w:rPr>
                <w:rFonts w:ascii="仿宋_GB2312" w:eastAsia="仿宋_GB2312" w:hAnsi="宋体" w:cs="宋体"/>
                <w:kern w:val="0"/>
                <w:sz w:val="24"/>
              </w:rPr>
            </w:pPr>
            <w:r w:rsidRPr="005D6A78">
              <w:rPr>
                <w:rFonts w:ascii="仿宋_GB2312" w:eastAsia="仿宋_GB2312" w:hAnsi="宋体" w:cs="宋体" w:hint="eastAsia"/>
                <w:kern w:val="0"/>
                <w:sz w:val="24"/>
              </w:rPr>
              <w:t>举升力，可以举升最大2.6吨的汽车，并以超过2m/s速度平稳的行驶、转弯、刹车。</w:t>
            </w:r>
          </w:p>
          <w:p w:rsidR="00D47352" w:rsidRPr="005D6A78" w:rsidRDefault="005D6A78" w:rsidP="005D6A78">
            <w:pPr>
              <w:ind w:firstLineChars="200" w:firstLine="480"/>
              <w:rPr>
                <w:rFonts w:ascii="仿宋_GB2312" w:eastAsia="仿宋_GB2312" w:hAnsi="宋体" w:cs="宋体"/>
                <w:kern w:val="0"/>
                <w:sz w:val="24"/>
              </w:rPr>
            </w:pPr>
            <w:r w:rsidRPr="005D6A78">
              <w:rPr>
                <w:rFonts w:ascii="仿宋_GB2312" w:eastAsia="仿宋_GB2312" w:hAnsi="宋体" w:cs="宋体" w:hint="eastAsia"/>
                <w:kern w:val="0"/>
                <w:sz w:val="24"/>
              </w:rPr>
              <w:t>智能化，具有中央调度系统，针对停车场的布局以及车辆和用户需求的动态变化进行最优的任务分配和路径规划。机器人本身在车辆识别、关键部位识别（如轮子）、室内定位、导航、精准入库出库等方面，采用基于多传感器的自动驾驶算法支持。</w:t>
            </w:r>
          </w:p>
          <w:p w:rsidR="00D47352" w:rsidRPr="00BC61E2" w:rsidRDefault="00D47352" w:rsidP="00984676">
            <w:pPr>
              <w:rPr>
                <w:rFonts w:ascii="仿宋_GB2312" w:eastAsia="仿宋_GB2312" w:hAnsi="宋体" w:cs="宋体"/>
                <w:sz w:val="24"/>
              </w:rPr>
            </w:pPr>
          </w:p>
        </w:tc>
      </w:tr>
      <w:tr w:rsidR="00D47352" w:rsidTr="00D612CA">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577"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（企业已经开展的工作、所处阶段、投入资金和人力、仪器设备、生产条件等）</w:t>
            </w:r>
          </w:p>
          <w:p w:rsidR="005D6A78" w:rsidRDefault="005D6A78" w:rsidP="00984676">
            <w:pPr>
              <w:rPr>
                <w:rFonts w:ascii="仿宋_GB2312" w:eastAsia="仿宋_GB2312" w:hAnsi="宋体" w:cs="宋体"/>
                <w:kern w:val="0"/>
                <w:sz w:val="24"/>
              </w:rPr>
            </w:pPr>
          </w:p>
          <w:p w:rsidR="005D6A78" w:rsidRPr="005D6A78" w:rsidRDefault="005D6A78" w:rsidP="005D6A78">
            <w:pPr>
              <w:ind w:firstLineChars="200" w:firstLine="480"/>
              <w:rPr>
                <w:rFonts w:ascii="仿宋_GB2312" w:eastAsia="仿宋_GB2312" w:hAnsi="宋体" w:cs="宋体"/>
                <w:kern w:val="0"/>
                <w:sz w:val="24"/>
              </w:rPr>
            </w:pPr>
            <w:r w:rsidRPr="005D6A78">
              <w:rPr>
                <w:rFonts w:ascii="仿宋_GB2312" w:eastAsia="仿宋_GB2312" w:hAnsi="宋体" w:cs="宋体" w:hint="eastAsia"/>
                <w:kern w:val="0"/>
                <w:sz w:val="24"/>
              </w:rPr>
              <w:t>公司已经研发了夹持式智能搬运器，已广泛应用于平面移动类、巷道堆垛类、垂直升降类立体车库，为AGV的研发和设计奠定了坚实的基础。</w:t>
            </w:r>
          </w:p>
          <w:p w:rsidR="0068061E" w:rsidRDefault="0068061E" w:rsidP="005D6A78">
            <w:pPr>
              <w:ind w:firstLineChars="200" w:firstLine="480"/>
              <w:rPr>
                <w:rFonts w:ascii="仿宋_GB2312" w:eastAsia="仿宋_GB2312" w:hAnsi="宋体" w:cs="宋体"/>
                <w:kern w:val="0"/>
                <w:sz w:val="24"/>
              </w:rPr>
            </w:pPr>
          </w:p>
        </w:tc>
      </w:tr>
      <w:tr w:rsidR="00D47352" w:rsidTr="00D612CA">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产学研合作</w:t>
            </w:r>
            <w:r>
              <w:rPr>
                <w:rFonts w:ascii="仿宋_GB2312" w:eastAsia="仿宋_GB2312" w:hAnsi="宋体" w:cs="宋体" w:hint="eastAsia"/>
                <w:kern w:val="0"/>
                <w:sz w:val="24"/>
              </w:rPr>
              <w:lastRenderedPageBreak/>
              <w:t>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577"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5D6A78" w:rsidRDefault="005D6A78" w:rsidP="00984676">
            <w:pPr>
              <w:rPr>
                <w:rFonts w:ascii="仿宋_GB2312" w:eastAsia="仿宋_GB2312" w:hAnsi="宋体" w:cs="宋体"/>
                <w:sz w:val="24"/>
              </w:rPr>
            </w:pPr>
          </w:p>
          <w:p w:rsidR="00D47352" w:rsidRPr="005D6A78" w:rsidRDefault="005D6A78" w:rsidP="00984676">
            <w:pPr>
              <w:rPr>
                <w:rFonts w:ascii="仿宋_GB2312" w:eastAsia="仿宋_GB2312" w:hAnsi="宋体" w:cs="宋体"/>
                <w:sz w:val="24"/>
              </w:rPr>
            </w:pPr>
            <w:r w:rsidRPr="005D6A78">
              <w:rPr>
                <w:rFonts w:ascii="仿宋_GB2312" w:eastAsia="仿宋_GB2312" w:hAnsi="宋体" w:cs="宋体" w:hint="eastAsia"/>
                <w:sz w:val="24"/>
              </w:rPr>
              <w:t>希望与高校、科研机构共同研发</w:t>
            </w:r>
          </w:p>
          <w:p w:rsidR="00D47352" w:rsidRDefault="00D47352" w:rsidP="00984676">
            <w:pPr>
              <w:rPr>
                <w:rFonts w:ascii="仿宋_GB2312" w:eastAsia="仿宋_GB2312" w:hAnsi="宋体" w:cs="宋体"/>
                <w:sz w:val="24"/>
              </w:rPr>
            </w:pPr>
          </w:p>
        </w:tc>
      </w:tr>
      <w:tr w:rsidR="00D47352" w:rsidTr="00D612CA">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577"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5D6A78" w:rsidRPr="005D6A78">
              <w:rPr>
                <w:rFonts w:ascii="仿宋_GB2312" w:eastAsia="仿宋_GB2312" w:hAnsi="宋体" w:cs="宋体" w:hint="eastAsia"/>
                <w:sz w:val="24"/>
              </w:rPr>
              <w:t>□</w:t>
            </w:r>
            <w:r>
              <w:rPr>
                <w:rFonts w:ascii="仿宋_GB2312" w:eastAsia="仿宋_GB2312" w:hAnsi="宋体" w:cs="宋体" w:hint="eastAsia"/>
                <w:sz w:val="24"/>
              </w:rPr>
              <w:t xml:space="preserve">联合开发   □委托研发 </w:t>
            </w:r>
          </w:p>
          <w:p w:rsidR="00D47352" w:rsidRDefault="00D47352" w:rsidP="009F4988">
            <w:pPr>
              <w:rPr>
                <w:rFonts w:ascii="仿宋_GB2312" w:eastAsia="仿宋_GB2312" w:hAnsi="宋体" w:cs="宋体"/>
                <w:sz w:val="24"/>
              </w:rPr>
            </w:pPr>
            <w:r>
              <w:rPr>
                <w:rFonts w:ascii="仿宋_GB2312" w:eastAsia="仿宋_GB2312" w:hAnsi="宋体" w:cs="宋体" w:hint="eastAsia"/>
                <w:sz w:val="24"/>
              </w:rPr>
              <w:t xml:space="preserve"> □委托团队、专家长期技术服务    </w:t>
            </w:r>
            <w:r w:rsidR="005D6A78" w:rsidRPr="005D6A78">
              <w:rPr>
                <w:rFonts w:ascii="仿宋_GB2312" w:eastAsia="仿宋_GB2312" w:hAnsi="宋体" w:cs="宋体" w:hint="eastAsia"/>
                <w:sz w:val="24"/>
              </w:rPr>
              <w:t>□</w:t>
            </w:r>
            <w:r>
              <w:rPr>
                <w:rFonts w:ascii="仿宋_GB2312" w:eastAsia="仿宋_GB2312" w:hAnsi="宋体" w:cs="宋体" w:hint="eastAsia"/>
                <w:sz w:val="24"/>
              </w:rPr>
              <w:t>共建新研发、生产实体</w:t>
            </w:r>
          </w:p>
        </w:tc>
      </w:tr>
      <w:tr w:rsidR="00D47352" w:rsidTr="00D612CA">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其他需求</w:t>
            </w:r>
          </w:p>
        </w:tc>
        <w:tc>
          <w:tcPr>
            <w:tcW w:w="7792"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5D6A78" w:rsidP="00984676">
            <w:pPr>
              <w:pStyle w:val="ListParagraph1"/>
              <w:ind w:firstLineChars="0" w:firstLine="0"/>
              <w:jc w:val="left"/>
              <w:rPr>
                <w:rFonts w:ascii="仿宋_GB2312" w:eastAsia="仿宋_GB2312"/>
                <w:sz w:val="24"/>
                <w:szCs w:val="24"/>
              </w:rPr>
            </w:pPr>
            <w:r w:rsidRPr="005D6A78">
              <w:rPr>
                <w:rFonts w:ascii="仿宋_GB2312" w:eastAsia="仿宋_GB2312" w:hAnsi="宋体" w:cs="宋体" w:hint="eastAsia"/>
                <w:sz w:val="24"/>
                <w:szCs w:val="24"/>
              </w:rPr>
              <w:t>□</w:t>
            </w:r>
            <w:r w:rsidR="00D47352">
              <w:rPr>
                <w:rFonts w:ascii="仿宋_GB2312" w:eastAsia="仿宋_GB2312" w:hAnsi="宋体" w:cs="宋体" w:hint="eastAsia"/>
                <w:sz w:val="24"/>
                <w:szCs w:val="24"/>
              </w:rPr>
              <w:t xml:space="preserve">检验检测  □质量体系  </w:t>
            </w:r>
            <w:r w:rsidR="00D47352">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r>
              <w:rPr>
                <w:rFonts w:ascii="仿宋_GB2312" w:eastAsia="仿宋_GB2312" w:hint="eastAsia"/>
                <w:sz w:val="24"/>
                <w:szCs w:val="24"/>
                <w:u w:val="single"/>
              </w:rPr>
              <w:t xml:space="preserve">                                 </w:t>
            </w:r>
          </w:p>
        </w:tc>
      </w:tr>
      <w:tr w:rsidR="00D47352" w:rsidTr="00D612CA">
        <w:tc>
          <w:tcPr>
            <w:tcW w:w="8422"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D612CA">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6732"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r>
              <w:rPr>
                <w:rFonts w:ascii="仿宋_GB2312" w:eastAsia="仿宋_GB2312" w:hAnsi="宋体" w:cs="宋体" w:hint="eastAsia"/>
                <w:sz w:val="24"/>
                <w:u w:val="single"/>
              </w:rPr>
              <w:t xml:space="preserve">                                              </w:t>
            </w:r>
          </w:p>
        </w:tc>
      </w:tr>
      <w:tr w:rsidR="00D47352" w:rsidTr="00D612CA">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6732"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t xml:space="preserve"> </w:t>
            </w: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D612CA">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6732"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t xml:space="preserve"> </w:t>
            </w: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D612CA">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6732"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u w:val="single"/>
              </w:rPr>
              <w:t xml:space="preserve">              </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360" w:rsidRDefault="00C81360" w:rsidP="005F40BF">
      <w:r>
        <w:separator/>
      </w:r>
    </w:p>
  </w:endnote>
  <w:endnote w:type="continuationSeparator" w:id="0">
    <w:p w:rsidR="00C81360" w:rsidRDefault="00C81360" w:rsidP="005F4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360" w:rsidRDefault="00C81360" w:rsidP="005F40BF">
      <w:r>
        <w:separator/>
      </w:r>
    </w:p>
  </w:footnote>
  <w:footnote w:type="continuationSeparator" w:id="0">
    <w:p w:rsidR="00C81360" w:rsidRDefault="00C81360" w:rsidP="005F40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9721873"/>
    <w:multiLevelType w:val="hybridMultilevel"/>
    <w:tmpl w:val="6A387F4E"/>
    <w:lvl w:ilvl="0" w:tplc="4A3AE096">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8">
    <w:nsid w:val="582A6F1A"/>
    <w:multiLevelType w:val="singleLevel"/>
    <w:tmpl w:val="582A6F1A"/>
    <w:lvl w:ilvl="0">
      <w:start w:val="4"/>
      <w:numFmt w:val="decimal"/>
      <w:suff w:val="nothing"/>
      <w:lvlText w:val="%1、"/>
      <w:lvlJc w:val="left"/>
    </w:lvl>
  </w:abstractNum>
  <w:abstractNum w:abstractNumId="9">
    <w:nsid w:val="58BE63EF"/>
    <w:multiLevelType w:val="singleLevel"/>
    <w:tmpl w:val="58BE63EF"/>
    <w:lvl w:ilvl="0">
      <w:start w:val="1"/>
      <w:numFmt w:val="decimal"/>
      <w:suff w:val="nothing"/>
      <w:lvlText w:val="%1、"/>
      <w:lvlJc w:val="left"/>
      <w:rPr>
        <w:rFonts w:cs="Times New Roman"/>
      </w:rPr>
    </w:lvl>
  </w:abstractNum>
  <w:abstractNum w:abstractNumId="10">
    <w:nsid w:val="58EF5DA8"/>
    <w:multiLevelType w:val="singleLevel"/>
    <w:tmpl w:val="58EF5DA8"/>
    <w:lvl w:ilvl="0">
      <w:start w:val="1"/>
      <w:numFmt w:val="decimal"/>
      <w:suff w:val="nothing"/>
      <w:lvlText w:val="%1."/>
      <w:lvlJc w:val="left"/>
    </w:lvl>
  </w:abstractNum>
  <w:abstractNum w:abstractNumId="11">
    <w:nsid w:val="6A284073"/>
    <w:multiLevelType w:val="singleLevel"/>
    <w:tmpl w:val="58EF5DA8"/>
    <w:lvl w:ilvl="0">
      <w:start w:val="1"/>
      <w:numFmt w:val="decimal"/>
      <w:suff w:val="nothing"/>
      <w:lvlText w:val="%1."/>
      <w:lvlJc w:val="left"/>
    </w:lvl>
  </w:abstractNum>
  <w:abstractNum w:abstractNumId="12">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3">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2"/>
  </w:num>
  <w:num w:numId="3">
    <w:abstractNumId w:val="5"/>
  </w:num>
  <w:num w:numId="4">
    <w:abstractNumId w:val="2"/>
  </w:num>
  <w:num w:numId="5">
    <w:abstractNumId w:val="7"/>
  </w:num>
  <w:num w:numId="6">
    <w:abstractNumId w:val="3"/>
  </w:num>
  <w:num w:numId="7">
    <w:abstractNumId w:val="1"/>
  </w:num>
  <w:num w:numId="8">
    <w:abstractNumId w:val="10"/>
  </w:num>
  <w:num w:numId="9">
    <w:abstractNumId w:val="11"/>
  </w:num>
  <w:num w:numId="10">
    <w:abstractNumId w:val="13"/>
  </w:num>
  <w:num w:numId="11">
    <w:abstractNumId w:val="0"/>
  </w:num>
  <w:num w:numId="12">
    <w:abstractNumId w:val="9"/>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65A"/>
    <w:rsid w:val="00003D38"/>
    <w:rsid w:val="000118F3"/>
    <w:rsid w:val="00026459"/>
    <w:rsid w:val="00046759"/>
    <w:rsid w:val="00054794"/>
    <w:rsid w:val="00064910"/>
    <w:rsid w:val="000755AB"/>
    <w:rsid w:val="00075F1D"/>
    <w:rsid w:val="00082B88"/>
    <w:rsid w:val="000B0162"/>
    <w:rsid w:val="000B14FD"/>
    <w:rsid w:val="000B19D0"/>
    <w:rsid w:val="000B3EA2"/>
    <w:rsid w:val="000C649C"/>
    <w:rsid w:val="000F238F"/>
    <w:rsid w:val="0010501B"/>
    <w:rsid w:val="00107A35"/>
    <w:rsid w:val="00107A4C"/>
    <w:rsid w:val="00124552"/>
    <w:rsid w:val="001257A6"/>
    <w:rsid w:val="0012712C"/>
    <w:rsid w:val="00152489"/>
    <w:rsid w:val="00172174"/>
    <w:rsid w:val="001755FF"/>
    <w:rsid w:val="00176715"/>
    <w:rsid w:val="00185AD8"/>
    <w:rsid w:val="001A6BDB"/>
    <w:rsid w:val="001C344E"/>
    <w:rsid w:val="001C4D71"/>
    <w:rsid w:val="001D2F2B"/>
    <w:rsid w:val="001D36D9"/>
    <w:rsid w:val="001D6110"/>
    <w:rsid w:val="001F0DAF"/>
    <w:rsid w:val="001F41E1"/>
    <w:rsid w:val="00212BA9"/>
    <w:rsid w:val="00226CB4"/>
    <w:rsid w:val="00231501"/>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D3E2D"/>
    <w:rsid w:val="003E20D4"/>
    <w:rsid w:val="003F0571"/>
    <w:rsid w:val="003F1706"/>
    <w:rsid w:val="00415BA1"/>
    <w:rsid w:val="00443AF2"/>
    <w:rsid w:val="00475D2F"/>
    <w:rsid w:val="00485958"/>
    <w:rsid w:val="00496076"/>
    <w:rsid w:val="004A2CAC"/>
    <w:rsid w:val="004C18DD"/>
    <w:rsid w:val="004D56DF"/>
    <w:rsid w:val="004D58DE"/>
    <w:rsid w:val="004E0091"/>
    <w:rsid w:val="004F1100"/>
    <w:rsid w:val="004F587A"/>
    <w:rsid w:val="00501610"/>
    <w:rsid w:val="005023B2"/>
    <w:rsid w:val="00510563"/>
    <w:rsid w:val="00510D57"/>
    <w:rsid w:val="00510F09"/>
    <w:rsid w:val="005269C5"/>
    <w:rsid w:val="005516CE"/>
    <w:rsid w:val="00563CDE"/>
    <w:rsid w:val="00570776"/>
    <w:rsid w:val="00576238"/>
    <w:rsid w:val="00586E4F"/>
    <w:rsid w:val="00595143"/>
    <w:rsid w:val="005B074F"/>
    <w:rsid w:val="005C0A05"/>
    <w:rsid w:val="005C5C93"/>
    <w:rsid w:val="005D6A78"/>
    <w:rsid w:val="005F0E28"/>
    <w:rsid w:val="005F40BF"/>
    <w:rsid w:val="005F429C"/>
    <w:rsid w:val="00600BD1"/>
    <w:rsid w:val="006218F4"/>
    <w:rsid w:val="00621E42"/>
    <w:rsid w:val="00627574"/>
    <w:rsid w:val="00635119"/>
    <w:rsid w:val="00641286"/>
    <w:rsid w:val="006425F8"/>
    <w:rsid w:val="0068061E"/>
    <w:rsid w:val="0069301E"/>
    <w:rsid w:val="00697416"/>
    <w:rsid w:val="006A5ADE"/>
    <w:rsid w:val="006D4F27"/>
    <w:rsid w:val="006E3A77"/>
    <w:rsid w:val="00701C78"/>
    <w:rsid w:val="00707B67"/>
    <w:rsid w:val="00737E60"/>
    <w:rsid w:val="007452EC"/>
    <w:rsid w:val="00777177"/>
    <w:rsid w:val="00780F6D"/>
    <w:rsid w:val="0078363D"/>
    <w:rsid w:val="007921CC"/>
    <w:rsid w:val="007A034D"/>
    <w:rsid w:val="007A27FA"/>
    <w:rsid w:val="007A3629"/>
    <w:rsid w:val="007A4F33"/>
    <w:rsid w:val="007C2845"/>
    <w:rsid w:val="007C7EA3"/>
    <w:rsid w:val="007F0A41"/>
    <w:rsid w:val="007F7EAE"/>
    <w:rsid w:val="008050AF"/>
    <w:rsid w:val="0084110D"/>
    <w:rsid w:val="00841738"/>
    <w:rsid w:val="0085165A"/>
    <w:rsid w:val="00852D22"/>
    <w:rsid w:val="008561A2"/>
    <w:rsid w:val="008703BE"/>
    <w:rsid w:val="00871BC2"/>
    <w:rsid w:val="00872BE2"/>
    <w:rsid w:val="00896A3A"/>
    <w:rsid w:val="008A1702"/>
    <w:rsid w:val="008A39BF"/>
    <w:rsid w:val="008B4CEE"/>
    <w:rsid w:val="008B790E"/>
    <w:rsid w:val="008D4482"/>
    <w:rsid w:val="008F2B88"/>
    <w:rsid w:val="00913187"/>
    <w:rsid w:val="00922B1E"/>
    <w:rsid w:val="009307F2"/>
    <w:rsid w:val="00953B71"/>
    <w:rsid w:val="0096107C"/>
    <w:rsid w:val="009741CC"/>
    <w:rsid w:val="00975A1F"/>
    <w:rsid w:val="009C022C"/>
    <w:rsid w:val="009F1199"/>
    <w:rsid w:val="009F4988"/>
    <w:rsid w:val="00A0435C"/>
    <w:rsid w:val="00A17EB9"/>
    <w:rsid w:val="00A2022C"/>
    <w:rsid w:val="00A20C56"/>
    <w:rsid w:val="00A40ABF"/>
    <w:rsid w:val="00A41800"/>
    <w:rsid w:val="00A4364A"/>
    <w:rsid w:val="00AB072E"/>
    <w:rsid w:val="00B53B6C"/>
    <w:rsid w:val="00B55132"/>
    <w:rsid w:val="00B57CFD"/>
    <w:rsid w:val="00B95D29"/>
    <w:rsid w:val="00BB3CD8"/>
    <w:rsid w:val="00BC61E2"/>
    <w:rsid w:val="00BC6700"/>
    <w:rsid w:val="00BD59A5"/>
    <w:rsid w:val="00C228BC"/>
    <w:rsid w:val="00C3220F"/>
    <w:rsid w:val="00C3498A"/>
    <w:rsid w:val="00C36864"/>
    <w:rsid w:val="00C41ED8"/>
    <w:rsid w:val="00C621F6"/>
    <w:rsid w:val="00C81360"/>
    <w:rsid w:val="00C82928"/>
    <w:rsid w:val="00CC08E8"/>
    <w:rsid w:val="00CC2481"/>
    <w:rsid w:val="00CC7C02"/>
    <w:rsid w:val="00CD1FA9"/>
    <w:rsid w:val="00CD2BDF"/>
    <w:rsid w:val="00CF0E9A"/>
    <w:rsid w:val="00CF58F2"/>
    <w:rsid w:val="00D37771"/>
    <w:rsid w:val="00D47352"/>
    <w:rsid w:val="00D612CA"/>
    <w:rsid w:val="00D71E1F"/>
    <w:rsid w:val="00D75331"/>
    <w:rsid w:val="00DA7BA5"/>
    <w:rsid w:val="00DB4E1A"/>
    <w:rsid w:val="00DB5988"/>
    <w:rsid w:val="00DD3CC2"/>
    <w:rsid w:val="00DD593D"/>
    <w:rsid w:val="00E01813"/>
    <w:rsid w:val="00E03D95"/>
    <w:rsid w:val="00E10ADE"/>
    <w:rsid w:val="00E16458"/>
    <w:rsid w:val="00E6193C"/>
    <w:rsid w:val="00E62079"/>
    <w:rsid w:val="00E63F04"/>
    <w:rsid w:val="00E66467"/>
    <w:rsid w:val="00E77464"/>
    <w:rsid w:val="00E80559"/>
    <w:rsid w:val="00E91456"/>
    <w:rsid w:val="00E95A1D"/>
    <w:rsid w:val="00EA4CD4"/>
    <w:rsid w:val="00EC6DFA"/>
    <w:rsid w:val="00ED0461"/>
    <w:rsid w:val="00ED468A"/>
    <w:rsid w:val="00ED72A4"/>
    <w:rsid w:val="00EF35DC"/>
    <w:rsid w:val="00EF5D82"/>
    <w:rsid w:val="00F10694"/>
    <w:rsid w:val="00F5304C"/>
    <w:rsid w:val="00F625FC"/>
    <w:rsid w:val="00F80007"/>
    <w:rsid w:val="00F80644"/>
    <w:rsid w:val="00F808A7"/>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728232-F64B-496F-BB90-F184D826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paragraph" w:styleId="2">
    <w:name w:val="heading 2"/>
    <w:basedOn w:val="a"/>
    <w:next w:val="a"/>
    <w:link w:val="2Char"/>
    <w:uiPriority w:val="9"/>
    <w:semiHidden/>
    <w:unhideWhenUsed/>
    <w:qFormat/>
    <w:rsid w:val="0051056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iPriority w:val="99"/>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0">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 w:type="character" w:customStyle="1" w:styleId="2Char">
    <w:name w:val="标题 2 Char"/>
    <w:basedOn w:val="a0"/>
    <w:link w:val="2"/>
    <w:uiPriority w:val="9"/>
    <w:semiHidden/>
    <w:rsid w:val="00510563"/>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 w:id="1810704246">
      <w:bodyDiv w:val="1"/>
      <w:marLeft w:val="0"/>
      <w:marRight w:val="0"/>
      <w:marTop w:val="0"/>
      <w:marBottom w:val="0"/>
      <w:divBdr>
        <w:top w:val="none" w:sz="0" w:space="0" w:color="auto"/>
        <w:left w:val="none" w:sz="0" w:space="0" w:color="auto"/>
        <w:bottom w:val="none" w:sz="0" w:space="0" w:color="auto"/>
        <w:right w:val="none" w:sz="0" w:space="0" w:color="auto"/>
      </w:divBdr>
      <w:divsChild>
        <w:div w:id="310913266">
          <w:marLeft w:val="0"/>
          <w:marRight w:val="0"/>
          <w:marTop w:val="0"/>
          <w:marBottom w:val="0"/>
          <w:divBdr>
            <w:top w:val="none" w:sz="0" w:space="0" w:color="auto"/>
            <w:left w:val="none" w:sz="0" w:space="0" w:color="auto"/>
            <w:bottom w:val="none" w:sz="0" w:space="0" w:color="auto"/>
            <w:right w:val="none" w:sz="0" w:space="0" w:color="auto"/>
          </w:divBdr>
          <w:divsChild>
            <w:div w:id="96993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E94B5-0AB6-4D54-BD07-47B4CC6DE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HP</cp:lastModifiedBy>
  <cp:revision>3</cp:revision>
  <cp:lastPrinted>2017-10-17T02:13:00Z</cp:lastPrinted>
  <dcterms:created xsi:type="dcterms:W3CDTF">2018-08-09T08:36:00Z</dcterms:created>
  <dcterms:modified xsi:type="dcterms:W3CDTF">2018-08-13T03:19:00Z</dcterms:modified>
</cp:coreProperties>
</file>