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工业</w:t>
            </w:r>
            <w:r>
              <w:rPr>
                <w:rFonts w:ascii="仿宋" w:hAnsi="仿宋" w:eastAsia="仿宋"/>
                <w:sz w:val="24"/>
                <w:szCs w:val="36"/>
              </w:rPr>
              <w:t>节能技术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循环经济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包括工业汽轮机+电机双级驱动技术、工业变频节能技术、路灯节能技术等，降低工业企业的能耗和运营成本技术。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>技改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技措 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116F098D"/>
    <w:rsid w:val="13943D48"/>
    <w:rsid w:val="348C107E"/>
    <w:rsid w:val="34CD6AFD"/>
    <w:rsid w:val="389B4350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